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D634E4" w14:textId="55A3DAF8" w:rsidR="0016378C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</w:pPr>
      <w:r w:rsidRPr="00B90561"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  <w:t xml:space="preserve">SAÚDE E POPULAÇÃO LGBTQIA+: A VIOLÊNCIA EM </w:t>
      </w:r>
      <w:r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  <w:br/>
      </w:r>
      <w:r w:rsidRPr="00B90561"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  <w:t>QUESTÃO E A</w:t>
      </w:r>
      <w:r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  <w:t xml:space="preserve"> </w:t>
      </w:r>
      <w:r w:rsidRPr="00B90561"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  <w:t>MODELAGEM DO CUIDADO</w:t>
      </w:r>
    </w:p>
    <w:p w14:paraId="2CC346A0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yperlink"/>
          <w:rFonts w:ascii="Arial" w:hAnsi="Arial" w:cs="Arial"/>
          <w:b/>
          <w:bCs/>
          <w:color w:val="000000"/>
          <w:u w:val="none"/>
          <w:lang w:eastAsia="pt-BR"/>
        </w:rPr>
      </w:pPr>
    </w:p>
    <w:p w14:paraId="2C7409CD" w14:textId="2B0B906E" w:rsidR="00822CB7" w:rsidRDefault="00B90561" w:rsidP="000C7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  <w:r w:rsidRPr="00B90561">
        <w:rPr>
          <w:rFonts w:ascii="Arial" w:hAnsi="Arial" w:cs="Arial"/>
          <w:color w:val="000000"/>
          <w:sz w:val="20"/>
          <w:szCs w:val="20"/>
          <w:lang w:eastAsia="pt-BR"/>
        </w:rPr>
        <w:t>William Pereira Santos</w:t>
      </w:r>
      <w:r w:rsidRPr="00B90561">
        <w:rPr>
          <w:rFonts w:ascii="Arial" w:hAnsi="Arial" w:cs="Arial"/>
          <w:color w:val="000000"/>
          <w:sz w:val="20"/>
          <w:szCs w:val="20"/>
          <w:vertAlign w:val="superscript"/>
          <w:lang w:eastAsia="pt-BR"/>
        </w:rPr>
        <w:t>1</w:t>
      </w:r>
      <w:r w:rsidRPr="00B90561">
        <w:rPr>
          <w:rFonts w:ascii="Arial" w:hAnsi="Arial" w:cs="Arial"/>
          <w:color w:val="000000"/>
          <w:sz w:val="20"/>
          <w:szCs w:val="20"/>
          <w:lang w:eastAsia="pt-BR"/>
        </w:rPr>
        <w:t>, Alcindo Antônio Ferla</w:t>
      </w:r>
      <w:r w:rsidRPr="00B90561">
        <w:rPr>
          <w:rFonts w:ascii="Arial" w:hAnsi="Arial" w:cs="Arial"/>
          <w:color w:val="000000"/>
          <w:sz w:val="20"/>
          <w:szCs w:val="20"/>
          <w:vertAlign w:val="superscript"/>
          <w:lang w:eastAsia="pt-BR"/>
        </w:rPr>
        <w:t>2</w:t>
      </w:r>
    </w:p>
    <w:p w14:paraId="03888221" w14:textId="77777777" w:rsidR="00B90561" w:rsidRDefault="00B90561" w:rsidP="000C7D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14:paraId="2D6054EA" w14:textId="77777777" w:rsidR="00B90561" w:rsidRPr="00B90561" w:rsidRDefault="00B90561" w:rsidP="00B905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90561">
        <w:rPr>
          <w:rFonts w:ascii="Arial" w:hAnsi="Arial" w:cs="Arial"/>
          <w:color w:val="000000"/>
          <w:sz w:val="20"/>
          <w:szCs w:val="20"/>
        </w:rPr>
        <w:t>1 Biólogo. Hospital Universitário da Universidade Federal de Juiz de Fora (HU-UFJF) - Minas Gerais,</w:t>
      </w:r>
    </w:p>
    <w:p w14:paraId="63A6536C" w14:textId="77777777" w:rsidR="00B90561" w:rsidRPr="00B90561" w:rsidRDefault="00B90561" w:rsidP="00B905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90561">
        <w:rPr>
          <w:rFonts w:ascii="Arial" w:hAnsi="Arial" w:cs="Arial"/>
          <w:color w:val="000000"/>
          <w:sz w:val="20"/>
          <w:szCs w:val="20"/>
        </w:rPr>
        <w:t>pereirasantoswilliam@gmail.com</w:t>
      </w:r>
    </w:p>
    <w:p w14:paraId="4148D378" w14:textId="234AED11" w:rsidR="00822CB7" w:rsidRDefault="00B90561" w:rsidP="00B905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90561">
        <w:rPr>
          <w:rFonts w:ascii="Arial" w:hAnsi="Arial" w:cs="Arial"/>
          <w:color w:val="000000"/>
          <w:sz w:val="20"/>
          <w:szCs w:val="20"/>
        </w:rPr>
        <w:t>2 Médico. Universidade Federal do Rio Grande do Sul (UFRGS), Programa de Pós-Graduação em Saúde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0561">
        <w:rPr>
          <w:rFonts w:ascii="Arial" w:hAnsi="Arial" w:cs="Arial"/>
          <w:color w:val="000000"/>
          <w:sz w:val="20"/>
          <w:szCs w:val="20"/>
        </w:rPr>
        <w:t>Coletiva, Porto Alegre - Rio Grande do Sul, ferlaalcindo@gmail.com</w:t>
      </w:r>
    </w:p>
    <w:p w14:paraId="177D13AE" w14:textId="77777777" w:rsidR="00B90561" w:rsidRPr="00E65C70" w:rsidRDefault="00B90561" w:rsidP="00B90561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20E9C8" w14:textId="215025BB" w:rsidR="00222D63" w:rsidRDefault="009F299E" w:rsidP="009C53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Palavras-chave:</w:t>
      </w:r>
      <w:r w:rsidR="00301B3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90561" w:rsidRPr="00B90561">
        <w:rPr>
          <w:rFonts w:ascii="Arial" w:hAnsi="Arial" w:cs="Arial"/>
          <w:color w:val="000000"/>
          <w:sz w:val="20"/>
          <w:szCs w:val="20"/>
        </w:rPr>
        <w:t>População LGBTQIA+; Violência contra LGBTQIA+; Linhas de cuidado.</w:t>
      </w:r>
    </w:p>
    <w:p w14:paraId="1AC44250" w14:textId="77777777" w:rsidR="00B90561" w:rsidRDefault="00B90561" w:rsidP="009C53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000015" w14:textId="1CC37E05" w:rsidR="00F80B99" w:rsidRDefault="009F299E" w:rsidP="009C53EF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INTRODUÇÃO</w:t>
      </w:r>
    </w:p>
    <w:p w14:paraId="5334CE7B" w14:textId="77777777" w:rsidR="00CE3824" w:rsidRDefault="00CE38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D8B36FE" w14:textId="4F5288C0" w:rsidR="00222D63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color w:val="000000" w:themeColor="text1"/>
          <w:sz w:val="20"/>
          <w:szCs w:val="20"/>
        </w:rPr>
        <w:t>A discriminação contra a população LGBTQIA+ é um fator de sofrimento e produção de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color w:val="000000" w:themeColor="text1"/>
          <w:sz w:val="20"/>
          <w:szCs w:val="20"/>
        </w:rPr>
        <w:t>doença, gerando demandas nos serviços de saúde. A negligência à saúde da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color w:val="000000" w:themeColor="text1"/>
          <w:sz w:val="20"/>
          <w:szCs w:val="20"/>
        </w:rPr>
        <w:t>população LGBTQIA+ é expressa por baixa procura espontânea aos serviços e deficiência estrutural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color w:val="000000" w:themeColor="text1"/>
          <w:sz w:val="20"/>
          <w:szCs w:val="20"/>
        </w:rPr>
        <w:t>e organizacional de modelos assistenciais. Objetivou-se analisar propostas de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color w:val="000000" w:themeColor="text1"/>
          <w:sz w:val="20"/>
          <w:szCs w:val="20"/>
        </w:rPr>
        <w:t>organização tecnoassistencial do sistema público de saúde em relação ao acesso e resolutividade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color w:val="000000" w:themeColor="text1"/>
          <w:sz w:val="20"/>
          <w:szCs w:val="20"/>
        </w:rPr>
        <w:t>das necessidades de saúde da população LGBTQIA+ relacionadas à violência.</w:t>
      </w:r>
    </w:p>
    <w:p w14:paraId="25B8E7BD" w14:textId="77777777" w:rsidR="00B90561" w:rsidRPr="0016378C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0000001E" w14:textId="628086EE" w:rsidR="00F80B99" w:rsidRPr="0016378C" w:rsidRDefault="009F29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6378C">
        <w:rPr>
          <w:rFonts w:ascii="Arial" w:eastAsia="Arial" w:hAnsi="Arial" w:cs="Arial"/>
          <w:b/>
          <w:color w:val="000000" w:themeColor="text1"/>
          <w:sz w:val="20"/>
          <w:szCs w:val="20"/>
        </w:rPr>
        <w:t>METODOLOGIA</w:t>
      </w:r>
    </w:p>
    <w:p w14:paraId="0000001F" w14:textId="77777777" w:rsidR="00F80B99" w:rsidRPr="0016378C" w:rsidRDefault="00F80B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DAAC61F" w14:textId="1ADD3BD1" w:rsidR="00B90561" w:rsidRP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Ensaio teórico a partir da conexão entre necessidade em saúde da população LGBTQIA+ e a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modelagem tecnoassistencial no Sistema Único de Saúde (SUS), com revisão seletiva de literatura e</w:t>
      </w:r>
    </w:p>
    <w:p w14:paraId="3D334E9D" w14:textId="73978408" w:rsidR="00222D63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análise documental e de bases de dados do SUS.</w:t>
      </w:r>
    </w:p>
    <w:p w14:paraId="16B129E2" w14:textId="77777777" w:rsidR="00B90561" w:rsidRPr="0016378C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00000025" w14:textId="5F289B6A" w:rsidR="00F80B99" w:rsidRPr="0016378C" w:rsidRDefault="009F29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16378C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RESULTADOS E DISCUSSÃO </w:t>
      </w:r>
    </w:p>
    <w:p w14:paraId="00000026" w14:textId="77777777" w:rsidR="00F80B99" w:rsidRPr="0016378C" w:rsidRDefault="00F80B9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41F0BC" w14:textId="3653BF45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O Brasil é o primeiro país em que mais se registra mortes da população LGBTQIA+. Em 2021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foram registradas 316 mortes, sendo que 23 foram mortes por latrocínio e 262 ocorreram sem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evidência de roubo. Esses dados revelam que a violência é mantida pelos discursos de ódio, sendo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as pessoas violentadas por serem LGBTQIA+. Na saúde, importa reconhecer os determinantes e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vulnerabilidades sociais para estabelecer rotinas, elaborar protocolos e alternativas de cuidados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específicos para responder às necessidades físicas e subjetivas das pessoas. Esses princípios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básicos de organização do cuidado em saúde permitem atendimentos às pessoas sob a condição de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atendimento contínuo, bem como elaborar fluxos assistenciais nos diferentes níveis de atenção. A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ausência de iniciativas de ampliação da visibilidade da violência contra a população LGBTQIA+ nos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serviços de saúde e fluxos facilitados de acesso ao cuidado e às ações de proteção da vida dessas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pessoas demonstra resquícios do preconceito estrutural nos sistemas de políticas públicas. Sem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processos de cuidado voltados para a inclusão nos serviços de saúde, desde a atenção básica, e o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reconhecimento da violência de gênero com a população LGBTQIA+ como causa de adoecimento, de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restrição de direitos e de morte, haverá déficits na qualidade dos serviços e redes de atenção e na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democracia.</w:t>
      </w:r>
    </w:p>
    <w:p w14:paraId="1F820680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</w:p>
    <w:p w14:paraId="6932BEA6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</w:p>
    <w:p w14:paraId="00000059" w14:textId="5A4020AF" w:rsidR="00F80B99" w:rsidRPr="0016378C" w:rsidRDefault="009F299E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16378C">
        <w:rPr>
          <w:rFonts w:ascii="Arial" w:eastAsia="Arial" w:hAnsi="Arial" w:cs="Arial"/>
          <w:b/>
          <w:color w:val="000000" w:themeColor="text1"/>
          <w:sz w:val="20"/>
          <w:szCs w:val="20"/>
        </w:rPr>
        <w:lastRenderedPageBreak/>
        <w:t>CONCLUSÃO</w:t>
      </w:r>
    </w:p>
    <w:p w14:paraId="0000005A" w14:textId="77777777" w:rsidR="00F80B99" w:rsidRPr="0016378C" w:rsidRDefault="00F80B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047A08" w14:textId="5EB1B625" w:rsidR="00222D63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Ser LGBTQIA+ não é ser doente ou ter desvio. O atendimento em saúde não deve se pautar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na cisgeneridade e com inclinação a tratamento de algo que não é doença e reorientação para o que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não é desvio. O tema abordado é multidimensional, exigindo atuação de diversos profissionais. A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atuação através da sensibilização dos profissionais e sem práticas moralistas e universalização do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ser, juntamente com políticas de enfrentamento sendo implantadas no cotidiano dos serviços, podem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reduzir os números apresentados, que representam àqueles que foram possíveis ser registrados,</w:t>
      </w:r>
      <w:r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B90561">
        <w:rPr>
          <w:rFonts w:ascii="Arial" w:hAnsi="Arial" w:cs="Arial"/>
          <w:color w:val="000000" w:themeColor="text1"/>
          <w:sz w:val="20"/>
          <w:szCs w:val="20"/>
          <w:lang w:eastAsia="pt-BR"/>
        </w:rPr>
        <w:t>garantindo adesão ao sistema e ao modelo de cuidado.</w:t>
      </w:r>
    </w:p>
    <w:p w14:paraId="784F32D6" w14:textId="77777777" w:rsidR="00B90561" w:rsidRPr="0016378C" w:rsidRDefault="00B90561" w:rsidP="00B90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</w:p>
    <w:p w14:paraId="00000060" w14:textId="1E7FC5B0" w:rsidR="00F80B99" w:rsidRPr="0016378C" w:rsidRDefault="009F299E" w:rsidP="009C53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16378C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REFERÊNCIAS </w:t>
      </w:r>
    </w:p>
    <w:p w14:paraId="6DB29A80" w14:textId="77777777" w:rsidR="00514B8E" w:rsidRPr="0016378C" w:rsidRDefault="00514B8E" w:rsidP="00514B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4566DDE2" w14:textId="50F15438" w:rsidR="00B90561" w:rsidRP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ACONTECE ARTE E POLÍTICA LGBTI+; ANTRA (ASSOCIAÇÃO NACIONAL DE TRAVESTIS E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TRANSEXUAIS); ABGLT (ASSOCIAÇÃO BRASILEIRA DE LÉSBICAS, GAYS, BISSEXUAIS,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TRAVESTIS, TRANSEXUAIS E INTERSEXOS). </w:t>
      </w:r>
      <w:r w:rsidRPr="00F93C14">
        <w:rPr>
          <w:rFonts w:ascii="Arial" w:eastAsia="Arial" w:hAnsi="Arial" w:cs="Arial"/>
          <w:b/>
          <w:color w:val="000000" w:themeColor="text1"/>
          <w:sz w:val="20"/>
          <w:szCs w:val="20"/>
        </w:rPr>
        <w:t>Mortes e violências contra LGBTI+ no Brasil: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Dossiê 2021. - Florianópolis, SC: Acontece, ANTRA, ABGLT, 2022.</w:t>
      </w:r>
    </w:p>
    <w:p w14:paraId="744C9AC8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3D70A184" w14:textId="7F4A420D" w:rsidR="00B90561" w:rsidRP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BRASIL. Ministério da Saúde. Saúde da população de gays, lésbicas, bissexuais, travestis e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transexuais. </w:t>
      </w:r>
      <w:r w:rsidRPr="00F93C14">
        <w:rPr>
          <w:rFonts w:ascii="Arial" w:eastAsia="Arial" w:hAnsi="Arial" w:cs="Arial"/>
          <w:b/>
          <w:color w:val="000000" w:themeColor="text1"/>
          <w:sz w:val="20"/>
          <w:szCs w:val="20"/>
        </w:rPr>
        <w:t>Rev. Saúde Pública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, v. 42, n. 3, p. 570-3, 2008.</w:t>
      </w:r>
    </w:p>
    <w:p w14:paraId="1CCFFE80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6B3A3790" w14:textId="0AA47971" w:rsidR="00B90561" w:rsidRP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BRASIL. Ministério da Saúde. Secretaria de Gestão Estratégica e Participativa. Departamento de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Apoio à Gestão Participativa. </w:t>
      </w:r>
      <w:r w:rsidRPr="00F93C14">
        <w:rPr>
          <w:rFonts w:ascii="Arial" w:eastAsia="Arial" w:hAnsi="Arial" w:cs="Arial"/>
          <w:b/>
          <w:color w:val="000000" w:themeColor="text1"/>
          <w:sz w:val="20"/>
          <w:szCs w:val="20"/>
        </w:rPr>
        <w:t>Política Nacional de Saúde Integral de Lésbicas, Gays, Bissexuais,</w:t>
      </w:r>
      <w:r w:rsidRPr="00F93C14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F93C14">
        <w:rPr>
          <w:rFonts w:ascii="Arial" w:eastAsia="Arial" w:hAnsi="Arial" w:cs="Arial"/>
          <w:b/>
          <w:color w:val="000000" w:themeColor="text1"/>
          <w:sz w:val="20"/>
          <w:szCs w:val="20"/>
        </w:rPr>
        <w:t>Travestis e Transexuais.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- Brasília: 1ed., reimp. - Ministério da Saúde, 2013.</w:t>
      </w:r>
    </w:p>
    <w:p w14:paraId="60971847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4B468027" w14:textId="5826EA0C" w:rsidR="00B90561" w:rsidRP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CARDOSO, M. R.; FERRO, L. F. Saúde e população LGBT: demandas e especificidades em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questão. </w:t>
      </w:r>
      <w:r w:rsidRPr="008878C7">
        <w:rPr>
          <w:rFonts w:ascii="Arial" w:eastAsia="Arial" w:hAnsi="Arial" w:cs="Arial"/>
          <w:b/>
          <w:color w:val="000000" w:themeColor="text1"/>
          <w:sz w:val="20"/>
          <w:szCs w:val="20"/>
        </w:rPr>
        <w:t>Psicologia: Ciência e Profissão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, v. 32, n. 3, p. 552-63, 2012.</w:t>
      </w:r>
    </w:p>
    <w:p w14:paraId="3A619BDA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623A8CBE" w14:textId="4FCCF82C" w:rsidR="00B90561" w:rsidRP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CONSELHO NACIONAL DE COMBATE À DISCRIMINAÇÃO. </w:t>
      </w:r>
      <w:r w:rsidRPr="008878C7">
        <w:rPr>
          <w:rFonts w:ascii="Arial" w:eastAsia="Arial" w:hAnsi="Arial" w:cs="Arial"/>
          <w:b/>
          <w:color w:val="000000" w:themeColor="text1"/>
          <w:sz w:val="20"/>
          <w:szCs w:val="20"/>
        </w:rPr>
        <w:t>Brasil Sem Homofobia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: Programa de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combate à violência e à discriminação contra GLTB e promoção da cidadania homossexual. Brasília: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Ministério da Saúde, 2004.</w:t>
      </w:r>
    </w:p>
    <w:p w14:paraId="46F4341D" w14:textId="77777777" w:rsidR="00B90561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</w:p>
    <w:p w14:paraId="1B18BF13" w14:textId="03760E4D" w:rsidR="00514B8E" w:rsidRPr="0016378C" w:rsidRDefault="00B90561" w:rsidP="00B905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MERHY, E. E. </w:t>
      </w:r>
      <w:r w:rsidRPr="008878C7">
        <w:rPr>
          <w:rFonts w:ascii="Arial" w:eastAsia="Arial" w:hAnsi="Arial" w:cs="Arial"/>
          <w:b/>
          <w:color w:val="000000" w:themeColor="text1"/>
          <w:sz w:val="20"/>
          <w:szCs w:val="20"/>
        </w:rPr>
        <w:t>Saúde: a cartografia do trabalho vivo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. 3a Ed. São Paulo: Editora Hucitec; 2002.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</w:t>
      </w:r>
      <w:r w:rsidRPr="00B90561">
        <w:rPr>
          <w:rFonts w:ascii="Arial" w:eastAsia="Arial" w:hAnsi="Arial" w:cs="Arial"/>
          <w:bCs/>
          <w:color w:val="000000" w:themeColor="text1"/>
          <w:sz w:val="20"/>
          <w:szCs w:val="20"/>
        </w:rPr>
        <w:t>(Saúde em Debate, 145). ISBN: 85-271-0580-2</w:t>
      </w:r>
      <w:r w:rsidR="00006EC3">
        <w:rPr>
          <w:rFonts w:ascii="Arial" w:eastAsia="Arial" w:hAnsi="Arial" w:cs="Arial"/>
          <w:bCs/>
          <w:color w:val="000000" w:themeColor="text1"/>
          <w:sz w:val="20"/>
          <w:szCs w:val="20"/>
        </w:rPr>
        <w:t>.</w:t>
      </w:r>
    </w:p>
    <w:sectPr w:rsidR="00514B8E" w:rsidRPr="0016378C" w:rsidSect="00500C79">
      <w:headerReference w:type="default" r:id="rId9"/>
      <w:footerReference w:type="default" r:id="rId10"/>
      <w:headerReference w:type="first" r:id="rId11"/>
      <w:pgSz w:w="11905" w:h="16837"/>
      <w:pgMar w:top="2109" w:right="1418" w:bottom="1134" w:left="1418" w:header="3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99A6" w14:textId="77777777" w:rsidR="00F364E3" w:rsidRDefault="00F364E3">
      <w:r>
        <w:separator/>
      </w:r>
    </w:p>
  </w:endnote>
  <w:endnote w:type="continuationSeparator" w:id="0">
    <w:p w14:paraId="6407F402" w14:textId="77777777" w:rsidR="00F364E3" w:rsidRDefault="00F3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F80B99" w:rsidRDefault="00F80B9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</w:p>
  <w:p w14:paraId="00000075" w14:textId="3485F1B2" w:rsidR="00F80B99" w:rsidRPr="00797F73" w:rsidRDefault="00797F73" w:rsidP="00797F73">
    <w:pPr>
      <w:pStyle w:val="Ttulo2"/>
      <w:shd w:val="clear" w:color="auto" w:fill="FBFBF3"/>
      <w:spacing w:before="0" w:after="120"/>
      <w:ind w:right="240"/>
      <w:rPr>
        <w:rFonts w:ascii="Arial" w:eastAsia="Arial" w:hAnsi="Arial" w:cs="Arial"/>
        <w:b w:val="0"/>
        <w:color w:val="000000"/>
        <w:sz w:val="18"/>
        <w:szCs w:val="18"/>
      </w:rPr>
    </w:pPr>
    <w:r w:rsidRPr="00797F73">
      <w:rPr>
        <w:rFonts w:ascii="Arial" w:eastAsia="Arial" w:hAnsi="Arial" w:cs="Arial"/>
        <w:b w:val="0"/>
        <w:color w:val="000000"/>
        <w:sz w:val="18"/>
        <w:szCs w:val="18"/>
      </w:rPr>
      <w:t>Anais do Congresso Brasiliense On-line de Atenção Médica à População LGBTQIA+</w:t>
    </w:r>
    <w:r w:rsidR="009F299E" w:rsidRPr="00797F73">
      <w:rPr>
        <w:rFonts w:ascii="Arial" w:eastAsia="Arial" w:hAnsi="Arial" w:cs="Arial"/>
        <w:b w:val="0"/>
        <w:color w:val="000000"/>
        <w:sz w:val="18"/>
        <w:szCs w:val="18"/>
      </w:rPr>
      <w:tab/>
    </w:r>
    <w:r>
      <w:rPr>
        <w:rFonts w:ascii="Arial" w:eastAsia="Arial" w:hAnsi="Arial" w:cs="Arial"/>
        <w:b w:val="0"/>
        <w:color w:val="000000"/>
        <w:sz w:val="18"/>
        <w:szCs w:val="18"/>
      </w:rPr>
      <w:t xml:space="preserve">                              </w:t>
    </w:r>
    <w:r w:rsidR="009F299E" w:rsidRPr="00797F73">
      <w:rPr>
        <w:rFonts w:ascii="Arial" w:eastAsia="Arial" w:hAnsi="Arial" w:cs="Arial"/>
        <w:color w:val="000000"/>
        <w:sz w:val="18"/>
        <w:szCs w:val="18"/>
      </w:rPr>
      <w:fldChar w:fldCharType="begin"/>
    </w:r>
    <w:r w:rsidR="009F299E" w:rsidRPr="00797F73">
      <w:rPr>
        <w:rFonts w:ascii="Arial" w:eastAsia="Arial" w:hAnsi="Arial" w:cs="Arial"/>
        <w:b w:val="0"/>
        <w:color w:val="000000"/>
        <w:sz w:val="18"/>
        <w:szCs w:val="18"/>
      </w:rPr>
      <w:instrText>PAGE</w:instrText>
    </w:r>
    <w:r w:rsidR="009F299E" w:rsidRPr="00797F73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C5E17" w:rsidRPr="00797F73">
      <w:rPr>
        <w:rFonts w:ascii="Arial" w:eastAsia="Arial" w:hAnsi="Arial" w:cs="Arial"/>
        <w:noProof/>
        <w:color w:val="000000"/>
        <w:sz w:val="18"/>
        <w:szCs w:val="18"/>
      </w:rPr>
      <w:t>2</w:t>
    </w:r>
    <w:r w:rsidR="009F299E" w:rsidRPr="00797F73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0799" w14:textId="77777777" w:rsidR="00F364E3" w:rsidRDefault="00F364E3">
      <w:r>
        <w:separator/>
      </w:r>
    </w:p>
  </w:footnote>
  <w:footnote w:type="continuationSeparator" w:id="0">
    <w:p w14:paraId="735F1CB2" w14:textId="77777777" w:rsidR="00F364E3" w:rsidRDefault="00F3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187DD1A7" w:rsidR="00F80B99" w:rsidRPr="005D7BDB" w:rsidRDefault="00500C79" w:rsidP="005D7B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114300" distR="114300" simplePos="0" relativeHeight="251667456" behindDoc="0" locked="0" layoutInCell="1" allowOverlap="1" wp14:anchorId="2AC7B486" wp14:editId="20495B4E">
          <wp:simplePos x="0" y="0"/>
          <wp:positionH relativeFrom="column">
            <wp:posOffset>-786130</wp:posOffset>
          </wp:positionH>
          <wp:positionV relativeFrom="paragraph">
            <wp:posOffset>127635</wp:posOffset>
          </wp:positionV>
          <wp:extent cx="533400" cy="1046480"/>
          <wp:effectExtent l="0" t="0" r="0" b="1270"/>
          <wp:wrapTopAndBottom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32" r="46430"/>
                  <a:stretch/>
                </pic:blipFill>
                <pic:spPr bwMode="auto">
                  <a:xfrm>
                    <a:off x="0" y="0"/>
                    <a:ext cx="53340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040352EF" wp14:editId="5DFC792D">
          <wp:simplePos x="0" y="0"/>
          <wp:positionH relativeFrom="column">
            <wp:posOffset>4662170</wp:posOffset>
          </wp:positionH>
          <wp:positionV relativeFrom="paragraph">
            <wp:posOffset>108585</wp:posOffset>
          </wp:positionV>
          <wp:extent cx="1741170" cy="1046480"/>
          <wp:effectExtent l="0" t="0" r="0" b="127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97"/>
                  <a:stretch/>
                </pic:blipFill>
                <pic:spPr bwMode="auto">
                  <a:xfrm>
                    <a:off x="0" y="0"/>
                    <a:ext cx="174117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178D3D83" w:rsidR="00F80B99" w:rsidRDefault="00A34C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01782783" wp14:editId="2530ACD9">
          <wp:simplePos x="0" y="0"/>
          <wp:positionH relativeFrom="column">
            <wp:posOffset>741680</wp:posOffset>
          </wp:positionH>
          <wp:positionV relativeFrom="paragraph">
            <wp:posOffset>573405</wp:posOffset>
          </wp:positionV>
          <wp:extent cx="48260" cy="127000"/>
          <wp:effectExtent l="0" t="0" r="8890" b="635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7" t="44624" r="81850" b="43219"/>
                  <a:stretch/>
                </pic:blipFill>
                <pic:spPr bwMode="auto">
                  <a:xfrm>
                    <a:off x="0" y="0"/>
                    <a:ext cx="4826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2695A728" wp14:editId="32905FC9">
          <wp:simplePos x="0" y="0"/>
          <wp:positionH relativeFrom="column">
            <wp:posOffset>4645864</wp:posOffset>
          </wp:positionH>
          <wp:positionV relativeFrom="paragraph">
            <wp:posOffset>104140</wp:posOffset>
          </wp:positionV>
          <wp:extent cx="1741514" cy="1046480"/>
          <wp:effectExtent l="0" t="0" r="0" b="127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97"/>
                  <a:stretch/>
                </pic:blipFill>
                <pic:spPr bwMode="auto">
                  <a:xfrm>
                    <a:off x="0" y="0"/>
                    <a:ext cx="1741514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5048488" wp14:editId="0E512D92">
          <wp:simplePos x="0" y="0"/>
          <wp:positionH relativeFrom="column">
            <wp:posOffset>-641985</wp:posOffset>
          </wp:positionH>
          <wp:positionV relativeFrom="paragraph">
            <wp:posOffset>104140</wp:posOffset>
          </wp:positionV>
          <wp:extent cx="4352925" cy="1046480"/>
          <wp:effectExtent l="0" t="0" r="0" b="1270"/>
          <wp:wrapTopAndBottom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455"/>
                  <a:stretch/>
                </pic:blipFill>
                <pic:spPr bwMode="auto">
                  <a:xfrm>
                    <a:off x="0" y="0"/>
                    <a:ext cx="43529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49A6"/>
    <w:multiLevelType w:val="multilevel"/>
    <w:tmpl w:val="3A1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13495"/>
    <w:multiLevelType w:val="multilevel"/>
    <w:tmpl w:val="D35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717A8"/>
    <w:multiLevelType w:val="multilevel"/>
    <w:tmpl w:val="A00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8097B"/>
    <w:multiLevelType w:val="hybridMultilevel"/>
    <w:tmpl w:val="33FA89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81D7A"/>
    <w:multiLevelType w:val="multilevel"/>
    <w:tmpl w:val="22100C0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EF0EC1"/>
    <w:multiLevelType w:val="multilevel"/>
    <w:tmpl w:val="589C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6268D"/>
    <w:multiLevelType w:val="multilevel"/>
    <w:tmpl w:val="6BE2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65376">
    <w:abstractNumId w:val="4"/>
  </w:num>
  <w:num w:numId="2" w16cid:durableId="691301226">
    <w:abstractNumId w:val="1"/>
  </w:num>
  <w:num w:numId="3" w16cid:durableId="372120781">
    <w:abstractNumId w:val="0"/>
  </w:num>
  <w:num w:numId="4" w16cid:durableId="1989899453">
    <w:abstractNumId w:val="2"/>
  </w:num>
  <w:num w:numId="5" w16cid:durableId="299653372">
    <w:abstractNumId w:val="5"/>
  </w:num>
  <w:num w:numId="6" w16cid:durableId="1716349943">
    <w:abstractNumId w:val="6"/>
  </w:num>
  <w:num w:numId="7" w16cid:durableId="66047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99"/>
    <w:rsid w:val="00006EC3"/>
    <w:rsid w:val="000903ED"/>
    <w:rsid w:val="000C7D57"/>
    <w:rsid w:val="000F7653"/>
    <w:rsid w:val="00131FE9"/>
    <w:rsid w:val="001320D4"/>
    <w:rsid w:val="0016378C"/>
    <w:rsid w:val="00170AEF"/>
    <w:rsid w:val="001B39ED"/>
    <w:rsid w:val="001F4C74"/>
    <w:rsid w:val="001F4DEB"/>
    <w:rsid w:val="00203746"/>
    <w:rsid w:val="00222D63"/>
    <w:rsid w:val="00261E49"/>
    <w:rsid w:val="002831FC"/>
    <w:rsid w:val="0029299D"/>
    <w:rsid w:val="002A0B76"/>
    <w:rsid w:val="002B1A89"/>
    <w:rsid w:val="002B1DDD"/>
    <w:rsid w:val="002C1369"/>
    <w:rsid w:val="00301B3E"/>
    <w:rsid w:val="00320EAC"/>
    <w:rsid w:val="00334FE6"/>
    <w:rsid w:val="003612E5"/>
    <w:rsid w:val="003A17DF"/>
    <w:rsid w:val="003A36B5"/>
    <w:rsid w:val="003A4330"/>
    <w:rsid w:val="003E0A99"/>
    <w:rsid w:val="0040720C"/>
    <w:rsid w:val="00415A8D"/>
    <w:rsid w:val="004330D4"/>
    <w:rsid w:val="004F4860"/>
    <w:rsid w:val="004F5970"/>
    <w:rsid w:val="00500C79"/>
    <w:rsid w:val="00514B8E"/>
    <w:rsid w:val="005543DB"/>
    <w:rsid w:val="00565DD9"/>
    <w:rsid w:val="00577CD1"/>
    <w:rsid w:val="005D7BDB"/>
    <w:rsid w:val="005E02A0"/>
    <w:rsid w:val="005E2442"/>
    <w:rsid w:val="00664294"/>
    <w:rsid w:val="006C0EEB"/>
    <w:rsid w:val="006D1933"/>
    <w:rsid w:val="00745786"/>
    <w:rsid w:val="007865F8"/>
    <w:rsid w:val="007907F4"/>
    <w:rsid w:val="0079419D"/>
    <w:rsid w:val="007954A1"/>
    <w:rsid w:val="00797F73"/>
    <w:rsid w:val="007D701E"/>
    <w:rsid w:val="008008EC"/>
    <w:rsid w:val="00822CB7"/>
    <w:rsid w:val="008859F3"/>
    <w:rsid w:val="008878C7"/>
    <w:rsid w:val="008B37A0"/>
    <w:rsid w:val="008C2C63"/>
    <w:rsid w:val="008F706F"/>
    <w:rsid w:val="00913CA1"/>
    <w:rsid w:val="00963F01"/>
    <w:rsid w:val="00964512"/>
    <w:rsid w:val="009A4509"/>
    <w:rsid w:val="009B03F5"/>
    <w:rsid w:val="009C53EF"/>
    <w:rsid w:val="009C5D28"/>
    <w:rsid w:val="009C6967"/>
    <w:rsid w:val="009F299E"/>
    <w:rsid w:val="00A305CB"/>
    <w:rsid w:val="00A34CF1"/>
    <w:rsid w:val="00A35299"/>
    <w:rsid w:val="00A84E3F"/>
    <w:rsid w:val="00A85C26"/>
    <w:rsid w:val="00AA0529"/>
    <w:rsid w:val="00B046C2"/>
    <w:rsid w:val="00B33E09"/>
    <w:rsid w:val="00B65FAF"/>
    <w:rsid w:val="00B90561"/>
    <w:rsid w:val="00BA2630"/>
    <w:rsid w:val="00BF42B1"/>
    <w:rsid w:val="00C02058"/>
    <w:rsid w:val="00C22E7F"/>
    <w:rsid w:val="00C47FFB"/>
    <w:rsid w:val="00C73928"/>
    <w:rsid w:val="00C9758D"/>
    <w:rsid w:val="00CB2B47"/>
    <w:rsid w:val="00CC40AC"/>
    <w:rsid w:val="00CE3824"/>
    <w:rsid w:val="00D05D3E"/>
    <w:rsid w:val="00DB5D05"/>
    <w:rsid w:val="00DC5E17"/>
    <w:rsid w:val="00DD6584"/>
    <w:rsid w:val="00E22C7F"/>
    <w:rsid w:val="00E65C70"/>
    <w:rsid w:val="00ED6800"/>
    <w:rsid w:val="00EE04E7"/>
    <w:rsid w:val="00F364E3"/>
    <w:rsid w:val="00F514E8"/>
    <w:rsid w:val="00F619CB"/>
    <w:rsid w:val="00F71B44"/>
    <w:rsid w:val="00F80B99"/>
    <w:rsid w:val="00F840BB"/>
    <w:rsid w:val="00F90C6F"/>
    <w:rsid w:val="00F91ECD"/>
    <w:rsid w:val="00F93C14"/>
    <w:rsid w:val="00FA69E8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3886"/>
  <w15:docId w15:val="{3B424539-FEBC-40ED-9D33-A5673D1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8C"/>
    <w:pPr>
      <w:suppressAutoHyphens/>
    </w:pPr>
    <w:rPr>
      <w:lang w:eastAsia="ar-SA"/>
    </w:rPr>
  </w:style>
  <w:style w:type="paragraph" w:styleId="Ttulo1">
    <w:name w:val="heading 1"/>
    <w:basedOn w:val="Normal"/>
    <w:next w:val="Corpodetexto"/>
    <w:uiPriority w:val="9"/>
    <w:qFormat/>
    <w:rsid w:val="00BD168C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sid w:val="00BD168C"/>
  </w:style>
  <w:style w:type="character" w:styleId="Hyperlink">
    <w:name w:val="Hyperlink"/>
    <w:rsid w:val="00BD168C"/>
    <w:rPr>
      <w:color w:val="0000FF"/>
      <w:u w:val="single"/>
    </w:rPr>
  </w:style>
  <w:style w:type="character" w:styleId="Forte">
    <w:name w:val="Strong"/>
    <w:qFormat/>
    <w:rsid w:val="00BD168C"/>
    <w:rPr>
      <w:b/>
    </w:rPr>
  </w:style>
  <w:style w:type="character" w:styleId="Nmerodepgina">
    <w:name w:val="page number"/>
    <w:basedOn w:val="Fontepargpadro1"/>
    <w:rsid w:val="00BD168C"/>
  </w:style>
  <w:style w:type="character" w:styleId="HiperlinkVisitado">
    <w:name w:val="FollowedHyperlink"/>
    <w:rsid w:val="00BD168C"/>
    <w:rPr>
      <w:color w:val="800080"/>
      <w:u w:val="single"/>
    </w:rPr>
  </w:style>
  <w:style w:type="character" w:styleId="Nmerodelinha">
    <w:name w:val="line number"/>
    <w:basedOn w:val="Fontepargpadro1"/>
    <w:rsid w:val="00BD168C"/>
  </w:style>
  <w:style w:type="paragraph" w:customStyle="1" w:styleId="Captulo">
    <w:name w:val="Capítulo"/>
    <w:basedOn w:val="Normal"/>
    <w:next w:val="Corpodetexto"/>
    <w:rsid w:val="00BD168C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rsid w:val="00BD168C"/>
    <w:pPr>
      <w:spacing w:after="120"/>
    </w:pPr>
  </w:style>
  <w:style w:type="paragraph" w:styleId="Lista">
    <w:name w:val="List"/>
    <w:basedOn w:val="Corpodetexto"/>
    <w:rsid w:val="00BD168C"/>
  </w:style>
  <w:style w:type="paragraph" w:customStyle="1" w:styleId="Legenda1">
    <w:name w:val="Legenda1"/>
    <w:basedOn w:val="Normal"/>
    <w:rsid w:val="00BD168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D168C"/>
    <w:pPr>
      <w:suppressLineNumbers/>
    </w:pPr>
  </w:style>
  <w:style w:type="paragraph" w:customStyle="1" w:styleId="TitulodoResumo">
    <w:name w:val="Titulo do Resumo"/>
    <w:basedOn w:val="Normal"/>
    <w:rsid w:val="00BD168C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BD16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D168C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rsid w:val="00BD168C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BD168C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BD168C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BD168C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BD168C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BD168C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BD168C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BD168C"/>
    <w:pPr>
      <w:suppressLineNumbers/>
    </w:pPr>
  </w:style>
  <w:style w:type="paragraph" w:customStyle="1" w:styleId="Ttulodatabela">
    <w:name w:val="Título da tabela"/>
    <w:basedOn w:val="Contedodatabela"/>
    <w:rsid w:val="00BD168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D168C"/>
  </w:style>
  <w:style w:type="character" w:styleId="Refdecomentrio">
    <w:name w:val="annotation reference"/>
    <w:rsid w:val="00302DD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02DD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302DD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02DD7"/>
    <w:rPr>
      <w:b/>
      <w:bCs/>
    </w:rPr>
  </w:style>
  <w:style w:type="character" w:customStyle="1" w:styleId="AssuntodocomentrioChar">
    <w:name w:val="Assunto do comentário Char"/>
    <w:link w:val="Assuntodocomentrio"/>
    <w:rsid w:val="00302DD7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302DD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02DD7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rsid w:val="00961F6B"/>
    <w:rPr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1B39E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63F01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A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bb4k4dEaq1m33YaDHn7k5cjlw==">AMUW2mW+QnlfUwhNepl4LKuVMzNDQPqFh5u9i3cUj7TO8+AIvsrtvt0I8lWeUQkwstuW0O4QERQQDXS1Ix1/B5/eY1tA3s5nyNeqLjGDvOCscwprQfFXXBo=</go:docsCustomData>
</go:gDocsCustomXmlDataStorage>
</file>

<file path=customXml/itemProps1.xml><?xml version="1.0" encoding="utf-8"?>
<ds:datastoreItem xmlns:ds="http://schemas.openxmlformats.org/officeDocument/2006/customXml" ds:itemID="{D04A8D8C-94FD-444C-9C52-0243E2966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</dc:creator>
  <cp:lastModifiedBy>Anônimo </cp:lastModifiedBy>
  <cp:revision>4</cp:revision>
  <cp:lastPrinted>2022-09-23T19:32:00Z</cp:lastPrinted>
  <dcterms:created xsi:type="dcterms:W3CDTF">2022-09-23T19:29:00Z</dcterms:created>
  <dcterms:modified xsi:type="dcterms:W3CDTF">2022-09-23T19:32:00Z</dcterms:modified>
</cp:coreProperties>
</file>